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72" w:rsidRPr="00492F48" w:rsidRDefault="00740F97" w:rsidP="00492F48">
      <w:pPr>
        <w:pBdr>
          <w:top w:val="single" w:sz="4" w:space="1" w:color="7030A0"/>
          <w:left w:val="single" w:sz="4" w:space="4" w:color="7030A0"/>
          <w:bottom w:val="single" w:sz="4" w:space="1" w:color="7030A0"/>
          <w:right w:val="single" w:sz="4" w:space="4" w:color="7030A0"/>
        </w:pBdr>
        <w:shd w:val="clear" w:color="auto" w:fill="92D050"/>
        <w:ind w:left="720"/>
        <w:jc w:val="center"/>
        <w:rPr>
          <w:rFonts w:ascii="Tahoma" w:hAnsi="Tahoma" w:cs="Tahoma"/>
          <w:b/>
          <w:sz w:val="24"/>
          <w:szCs w:val="24"/>
        </w:rPr>
      </w:pPr>
      <w:r w:rsidRPr="00492F48">
        <w:rPr>
          <w:rFonts w:ascii="Tahoma" w:hAnsi="Tahoma" w:cs="Tahoma"/>
          <w:b/>
          <w:sz w:val="24"/>
          <w:szCs w:val="24"/>
        </w:rPr>
        <w:t>GLO’MORE CONSUMER DISCLOSURE INFORMATION</w:t>
      </w:r>
    </w:p>
    <w:p w:rsidR="00740F97" w:rsidRPr="00492F48" w:rsidRDefault="006E2972" w:rsidP="00492F48">
      <w:pPr>
        <w:pBdr>
          <w:top w:val="single" w:sz="4" w:space="1" w:color="7030A0"/>
          <w:left w:val="single" w:sz="4" w:space="4" w:color="7030A0"/>
          <w:bottom w:val="single" w:sz="4" w:space="1" w:color="7030A0"/>
          <w:right w:val="single" w:sz="4" w:space="4" w:color="7030A0"/>
        </w:pBdr>
        <w:shd w:val="clear" w:color="auto" w:fill="92D050"/>
        <w:ind w:left="720"/>
        <w:jc w:val="center"/>
        <w:rPr>
          <w:rFonts w:ascii="Tahoma" w:hAnsi="Tahoma" w:cs="Tahoma"/>
          <w:b/>
          <w:sz w:val="24"/>
          <w:szCs w:val="24"/>
        </w:rPr>
      </w:pPr>
      <w:r w:rsidRPr="00492F48">
        <w:rPr>
          <w:rFonts w:ascii="Tahoma" w:hAnsi="Tahoma" w:cs="Tahoma"/>
          <w:b/>
          <w:sz w:val="24"/>
          <w:szCs w:val="24"/>
        </w:rPr>
        <w:t>Mink Eyelash Extensions</w:t>
      </w:r>
      <w:r w:rsidR="00435042">
        <w:rPr>
          <w:rFonts w:ascii="Tahoma" w:hAnsi="Tahoma" w:cs="Tahoma"/>
          <w:b/>
          <w:sz w:val="24"/>
          <w:szCs w:val="24"/>
        </w:rPr>
        <w:t xml:space="preserve"> </w:t>
      </w:r>
      <w:r w:rsidR="001E7D82">
        <w:rPr>
          <w:rFonts w:ascii="Tahoma" w:hAnsi="Tahoma" w:cs="Tahoma"/>
          <w:b/>
          <w:sz w:val="24"/>
          <w:szCs w:val="24"/>
        </w:rPr>
        <w:t>July 1, 2019 – June 30, 2020</w:t>
      </w:r>
    </w:p>
    <w:p w:rsidR="00492F48" w:rsidRDefault="00492F48" w:rsidP="00740F97">
      <w:pPr>
        <w:jc w:val="both"/>
        <w:rPr>
          <w:b/>
          <w:sz w:val="24"/>
          <w:szCs w:val="24"/>
        </w:rPr>
      </w:pPr>
    </w:p>
    <w:p w:rsidR="00740F97" w:rsidRPr="003E48FB" w:rsidRDefault="00740F97" w:rsidP="00740F97">
      <w:pPr>
        <w:jc w:val="both"/>
        <w:rPr>
          <w:b/>
          <w:sz w:val="24"/>
          <w:szCs w:val="24"/>
        </w:rPr>
      </w:pPr>
      <w:r w:rsidRPr="003E48FB">
        <w:rPr>
          <w:b/>
          <w:sz w:val="24"/>
          <w:szCs w:val="24"/>
        </w:rPr>
        <w:t xml:space="preserve">All schools are required to make available, at a minimum, the following disclosure information clearly and conspicuously on their 1) internet website, 2) school catalog, and 3) as an addendum to their Enrollment Agreement:  </w:t>
      </w:r>
    </w:p>
    <w:p w:rsidR="00740F97" w:rsidRPr="0033565B" w:rsidRDefault="00740F97" w:rsidP="00740F97">
      <w:pPr>
        <w:pStyle w:val="ListParagraph"/>
        <w:numPr>
          <w:ilvl w:val="0"/>
          <w:numId w:val="1"/>
        </w:numPr>
        <w:spacing w:after="0" w:line="240" w:lineRule="auto"/>
        <w:jc w:val="both"/>
        <w:rPr>
          <w:sz w:val="24"/>
          <w:szCs w:val="24"/>
        </w:rPr>
      </w:pPr>
      <w:r w:rsidRPr="003E48FB">
        <w:rPr>
          <w:sz w:val="24"/>
          <w:szCs w:val="24"/>
        </w:rPr>
        <w:t>The number of students who were admitted in the program as of July 1 of that reporting period.</w:t>
      </w:r>
      <w:r>
        <w:rPr>
          <w:sz w:val="24"/>
          <w:szCs w:val="24"/>
        </w:rPr>
        <w:t xml:space="preserve">  </w:t>
      </w:r>
      <w:r w:rsidR="008217B1" w:rsidRPr="008217B1">
        <w:rPr>
          <w:rFonts w:ascii="Bahnschrift" w:hAnsi="Bahnschrift"/>
          <w:b/>
          <w:u w:val="single"/>
        </w:rPr>
        <w:t>0</w:t>
      </w:r>
      <w:r w:rsidRPr="008217B1">
        <w:rPr>
          <w:rFonts w:ascii="Bahnschrift" w:hAnsi="Bahnschrift"/>
          <w:b/>
          <w:u w:val="single"/>
        </w:rPr>
        <w:t xml:space="preserve"> – Students</w:t>
      </w:r>
      <w:r w:rsidRPr="0033565B">
        <w:rPr>
          <w:rFonts w:ascii="Bahnschrift" w:hAnsi="Bahnschrift"/>
        </w:rPr>
        <w:t xml:space="preserve">.  </w:t>
      </w:r>
    </w:p>
    <w:p w:rsidR="00740F97" w:rsidRPr="004D6A99" w:rsidRDefault="00740F97" w:rsidP="00740F97">
      <w:pPr>
        <w:spacing w:after="0" w:line="240" w:lineRule="auto"/>
        <w:ind w:left="360"/>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additional students who were admitted in the program during the next 12 months and classified in one of the following categories: new starts, re-enrollments, and transfers into the program from other programs at the school.</w:t>
      </w:r>
      <w:r>
        <w:rPr>
          <w:sz w:val="24"/>
          <w:szCs w:val="24"/>
        </w:rPr>
        <w:t xml:space="preserve">  </w:t>
      </w:r>
      <w:r w:rsidR="003D7118" w:rsidRPr="008217B1">
        <w:rPr>
          <w:rFonts w:ascii="Bahnschrift" w:hAnsi="Bahnschrift"/>
          <w:b/>
          <w:u w:val="single"/>
        </w:rPr>
        <w:t>(1</w:t>
      </w:r>
      <w:r w:rsidR="00380089">
        <w:rPr>
          <w:rFonts w:ascii="Bahnschrift" w:hAnsi="Bahnschrift"/>
          <w:b/>
          <w:u w:val="single"/>
        </w:rPr>
        <w:t>3</w:t>
      </w:r>
      <w:r w:rsidRPr="008217B1">
        <w:rPr>
          <w:rFonts w:ascii="Bahnschrift" w:hAnsi="Bahnschrift"/>
          <w:b/>
          <w:u w:val="single"/>
        </w:rPr>
        <w:t xml:space="preserve"> –</w:t>
      </w:r>
      <w:r w:rsidR="003D7118" w:rsidRPr="008217B1">
        <w:rPr>
          <w:rFonts w:ascii="Bahnschrift" w:hAnsi="Bahnschrift"/>
          <w:b/>
          <w:u w:val="single"/>
        </w:rPr>
        <w:t xml:space="preserve"> Student</w:t>
      </w:r>
      <w:r w:rsidR="008217B1" w:rsidRPr="008217B1">
        <w:rPr>
          <w:rFonts w:ascii="Bahnschrift" w:hAnsi="Bahnschrift"/>
          <w:b/>
          <w:u w:val="single"/>
        </w:rPr>
        <w:t>s</w:t>
      </w:r>
      <w:r w:rsidRPr="0033565B">
        <w:rPr>
          <w:rFonts w:ascii="Bahnschrift" w:hAnsi="Bahnschrift"/>
        </w:rPr>
        <w:t xml:space="preserve">.  </w:t>
      </w:r>
    </w:p>
    <w:p w:rsidR="00740F97" w:rsidRPr="003E48FB" w:rsidRDefault="00740F97" w:rsidP="00740F97">
      <w:pPr>
        <w:pStyle w:val="ListParagraph"/>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total number of students admitted in the program during the 12-month reporting period.</w:t>
      </w:r>
      <w:r>
        <w:rPr>
          <w:sz w:val="24"/>
          <w:szCs w:val="24"/>
        </w:rPr>
        <w:t xml:space="preserve">  </w:t>
      </w:r>
      <w:r w:rsidR="00380089">
        <w:rPr>
          <w:rFonts w:ascii="Bahnschrift" w:hAnsi="Bahnschrift"/>
          <w:b/>
          <w:u w:val="single"/>
        </w:rPr>
        <w:t>13</w:t>
      </w:r>
      <w:r w:rsidR="008C69C1" w:rsidRPr="008217B1">
        <w:rPr>
          <w:rFonts w:ascii="Bahnschrift" w:hAnsi="Bahnschrift"/>
          <w:b/>
          <w:u w:val="single"/>
        </w:rPr>
        <w:t xml:space="preserve"> – Students</w:t>
      </w:r>
      <w:r w:rsidR="008C69C1" w:rsidRPr="0033565B">
        <w:rPr>
          <w:rFonts w:ascii="Bahnschrift" w:hAnsi="Bahnschrift"/>
        </w:rPr>
        <w:t xml:space="preserve">.  </w:t>
      </w:r>
      <w:r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students enrolled in the program during the 12-month reporting period who: transferred out of the program and into another program at the school, completed or graduated from a program, withdrew from the school, and are still enrolled.</w:t>
      </w:r>
      <w:r>
        <w:rPr>
          <w:sz w:val="24"/>
          <w:szCs w:val="24"/>
        </w:rPr>
        <w:t xml:space="preserve">  </w:t>
      </w:r>
      <w:r w:rsidR="008217B1">
        <w:rPr>
          <w:sz w:val="24"/>
          <w:szCs w:val="24"/>
        </w:rPr>
        <w:t xml:space="preserve">              </w:t>
      </w:r>
      <w:r w:rsidR="008C69C1">
        <w:rPr>
          <w:rFonts w:ascii="Bahnschrift" w:hAnsi="Bahnschrift"/>
          <w:b/>
          <w:u w:val="single"/>
        </w:rPr>
        <w:t>0</w:t>
      </w:r>
      <w:r w:rsidRPr="008217B1">
        <w:rPr>
          <w:rFonts w:ascii="Bahnschrift" w:hAnsi="Bahnschrift"/>
          <w:b/>
          <w:u w:val="single"/>
        </w:rPr>
        <w:t xml:space="preserve"> – Students</w:t>
      </w:r>
      <w:r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 xml:space="preserve">The number of students enrolled in the program </w:t>
      </w:r>
      <w:proofErr w:type="gramStart"/>
      <w:r w:rsidRPr="003E48FB">
        <w:rPr>
          <w:sz w:val="24"/>
          <w:szCs w:val="24"/>
        </w:rPr>
        <w:t>who</w:t>
      </w:r>
      <w:proofErr w:type="gramEnd"/>
      <w:r w:rsidRPr="003E48FB">
        <w:rPr>
          <w:sz w:val="24"/>
          <w:szCs w:val="24"/>
        </w:rPr>
        <w:t xml:space="preserve"> were: placed in their field of study, placed in a related field, placed out of the field, not available for placement due to personal reasons, and not employed.</w:t>
      </w:r>
      <w:r>
        <w:rPr>
          <w:sz w:val="24"/>
          <w:szCs w:val="24"/>
        </w:rPr>
        <w:t xml:space="preserve">  </w:t>
      </w:r>
      <w:r w:rsidR="00380089">
        <w:rPr>
          <w:rFonts w:ascii="Bahnschrift" w:hAnsi="Bahnschrift"/>
          <w:b/>
          <w:u w:val="single"/>
        </w:rPr>
        <w:t>11</w:t>
      </w:r>
      <w:r w:rsidR="008C69C1" w:rsidRPr="008217B1">
        <w:rPr>
          <w:rFonts w:ascii="Bahnschrift" w:hAnsi="Bahnschrift"/>
          <w:b/>
          <w:u w:val="single"/>
        </w:rPr>
        <w:t xml:space="preserve"> – Students</w:t>
      </w:r>
      <w:r w:rsidR="008C69C1"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students who took a State licensing exam or professional certification exam, if any, during the reporting period, as well as the number who passed.</w:t>
      </w:r>
      <w:r>
        <w:rPr>
          <w:sz w:val="24"/>
          <w:szCs w:val="24"/>
        </w:rPr>
        <w:t xml:space="preserve"> </w:t>
      </w:r>
      <w:r w:rsidR="008C69C1">
        <w:rPr>
          <w:sz w:val="24"/>
          <w:szCs w:val="24"/>
        </w:rPr>
        <w:t xml:space="preserve">                   </w:t>
      </w:r>
      <w:r>
        <w:rPr>
          <w:sz w:val="24"/>
          <w:szCs w:val="24"/>
        </w:rPr>
        <w:t xml:space="preserve"> </w:t>
      </w:r>
      <w:r w:rsidR="008C69C1">
        <w:rPr>
          <w:rFonts w:ascii="Bahnschrift" w:hAnsi="Bahnschrift"/>
          <w:b/>
          <w:u w:val="single"/>
        </w:rPr>
        <w:t>0</w:t>
      </w:r>
      <w:r w:rsidR="008C69C1" w:rsidRPr="008217B1">
        <w:rPr>
          <w:rFonts w:ascii="Bahnschrift" w:hAnsi="Bahnschrift"/>
          <w:b/>
          <w:u w:val="single"/>
        </w:rPr>
        <w:t xml:space="preserve"> – Students</w:t>
      </w:r>
      <w:r w:rsidR="008C69C1"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graduates who obtained employment in the field who did not use the school’s placement assistance during the reporting period (pending reasonable efforts to obtain this information from graduates).</w:t>
      </w:r>
      <w:r>
        <w:rPr>
          <w:sz w:val="24"/>
          <w:szCs w:val="24"/>
        </w:rPr>
        <w:t xml:space="preserve">  </w:t>
      </w:r>
      <w:r w:rsidR="00380089">
        <w:rPr>
          <w:rFonts w:ascii="Bahnschrift" w:hAnsi="Bahnschrift"/>
          <w:b/>
          <w:u w:val="single"/>
        </w:rPr>
        <w:t>11</w:t>
      </w:r>
      <w:r w:rsidR="008C69C1" w:rsidRPr="008217B1">
        <w:rPr>
          <w:rFonts w:ascii="Bahnschrift" w:hAnsi="Bahnschrift"/>
          <w:b/>
          <w:u w:val="single"/>
        </w:rPr>
        <w:t xml:space="preserve"> – Students</w:t>
      </w:r>
      <w:r w:rsidR="008C69C1"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651594" w:rsidRDefault="00740F97" w:rsidP="005E5FF1">
      <w:pPr>
        <w:pStyle w:val="ListParagraph"/>
        <w:numPr>
          <w:ilvl w:val="0"/>
          <w:numId w:val="1"/>
        </w:numPr>
        <w:spacing w:after="0" w:line="240" w:lineRule="auto"/>
        <w:jc w:val="both"/>
      </w:pPr>
      <w:r w:rsidRPr="005E5FF1">
        <w:rPr>
          <w:sz w:val="24"/>
          <w:szCs w:val="24"/>
        </w:rPr>
        <w:t xml:space="preserve">The average starting salary for all school graduates employed during the reporting period (pending reasonable efforts to obtain this information from graduates).  </w:t>
      </w:r>
      <w:r w:rsidR="00F3692B" w:rsidRPr="008168FC">
        <w:rPr>
          <w:rFonts w:ascii="Bahnschrift" w:hAnsi="Bahnschrift"/>
          <w:u w:val="single"/>
        </w:rPr>
        <w:t>$6,000</w:t>
      </w:r>
      <w:r w:rsidR="00F3692B">
        <w:rPr>
          <w:rFonts w:ascii="Bahnschrift" w:hAnsi="Bahnschrift"/>
        </w:rPr>
        <w:t>.</w:t>
      </w:r>
    </w:p>
    <w:sectPr w:rsidR="00651594" w:rsidSect="00DB7890">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90986"/>
    <w:multiLevelType w:val="hybridMultilevel"/>
    <w:tmpl w:val="4D80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F97"/>
    <w:rsid w:val="00135E21"/>
    <w:rsid w:val="001E7D82"/>
    <w:rsid w:val="002D0502"/>
    <w:rsid w:val="00380089"/>
    <w:rsid w:val="003D7118"/>
    <w:rsid w:val="00435042"/>
    <w:rsid w:val="004809A3"/>
    <w:rsid w:val="00492F48"/>
    <w:rsid w:val="004D5266"/>
    <w:rsid w:val="005E5FF1"/>
    <w:rsid w:val="00624DD2"/>
    <w:rsid w:val="00632EC4"/>
    <w:rsid w:val="00675BA9"/>
    <w:rsid w:val="006E2972"/>
    <w:rsid w:val="00740F97"/>
    <w:rsid w:val="008168FC"/>
    <w:rsid w:val="008217B1"/>
    <w:rsid w:val="008C69C1"/>
    <w:rsid w:val="0095117A"/>
    <w:rsid w:val="00DA3F49"/>
    <w:rsid w:val="00DD05C9"/>
    <w:rsid w:val="00ED48D7"/>
    <w:rsid w:val="00F3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cp:lastPrinted>2020-10-06T04:28:00Z</cp:lastPrinted>
  <dcterms:created xsi:type="dcterms:W3CDTF">2020-10-05T21:05:00Z</dcterms:created>
  <dcterms:modified xsi:type="dcterms:W3CDTF">2020-10-06T04:57:00Z</dcterms:modified>
</cp:coreProperties>
</file>